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A327" w14:textId="77777777" w:rsidR="00894B97" w:rsidRDefault="00894B97" w:rsidP="00894B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ECV’s CHALLENGING QUESTIONS REGARDING FIDIC 2017 CONTRACTS (RED &amp; YELLOW)</w:t>
      </w:r>
    </w:p>
    <w:p w14:paraId="5C1114EA" w14:textId="77777777" w:rsidR="00894B97" w:rsidRDefault="00894B97" w:rsidP="00894B97">
      <w:pPr>
        <w:rPr>
          <w:b/>
          <w:bCs/>
          <w:sz w:val="24"/>
          <w:szCs w:val="24"/>
        </w:rPr>
      </w:pPr>
    </w:p>
    <w:p w14:paraId="165C37B1" w14:textId="1C343260" w:rsidR="00894B97" w:rsidRDefault="00894B97" w:rsidP="00894B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ENIGMA NO 2</w:t>
      </w:r>
      <w:r w:rsidR="00EA141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EMPLOYER’S FINANCIAL ARRANGEMENTS SUB-CLAUSE 2.4 - PRACTICAL USE WHEN EXECUTING CONTRACT</w:t>
      </w:r>
    </w:p>
    <w:p w14:paraId="37827B39" w14:textId="77777777" w:rsidR="000E78C5" w:rsidRDefault="000E78C5" w:rsidP="00894B97">
      <w:pPr>
        <w:rPr>
          <w:b/>
          <w:bCs/>
          <w:sz w:val="24"/>
          <w:szCs w:val="24"/>
        </w:rPr>
      </w:pPr>
    </w:p>
    <w:p w14:paraId="4C6885E5" w14:textId="79815BAB" w:rsidR="000E78C5" w:rsidRPr="00EA1414" w:rsidRDefault="000E78C5" w:rsidP="00894B97">
      <w:pPr>
        <w:rPr>
          <w:sz w:val="24"/>
          <w:szCs w:val="24"/>
        </w:rPr>
      </w:pPr>
      <w:r w:rsidRPr="00EA1414">
        <w:rPr>
          <w:sz w:val="24"/>
          <w:szCs w:val="24"/>
        </w:rPr>
        <w:t xml:space="preserve">Under Sub-Clause 2.4 (a) the Contractor may request whether the Employer has made the financial arrangements to meet the remaining Contract Price as estimated by the Engineer if a single Variation exceeds 10% of the Accepted Contract </w:t>
      </w:r>
      <w:r w:rsidR="00EA1414">
        <w:rPr>
          <w:sz w:val="24"/>
          <w:szCs w:val="24"/>
        </w:rPr>
        <w:t>A</w:t>
      </w:r>
      <w:r w:rsidRPr="00EA1414">
        <w:rPr>
          <w:sz w:val="24"/>
          <w:szCs w:val="24"/>
        </w:rPr>
        <w:t>mount or if accumulated Variations exceed 30% of the ACA</w:t>
      </w:r>
    </w:p>
    <w:p w14:paraId="395FB940" w14:textId="77777777" w:rsidR="000E78C5" w:rsidRPr="00EA1414" w:rsidRDefault="000E78C5" w:rsidP="00894B97">
      <w:pPr>
        <w:rPr>
          <w:sz w:val="24"/>
          <w:szCs w:val="24"/>
        </w:rPr>
      </w:pPr>
    </w:p>
    <w:p w14:paraId="04F15B16" w14:textId="13029307" w:rsidR="000E78C5" w:rsidRPr="00EA1414" w:rsidRDefault="000E78C5" w:rsidP="00894B97">
      <w:pPr>
        <w:rPr>
          <w:sz w:val="24"/>
          <w:szCs w:val="24"/>
        </w:rPr>
      </w:pPr>
      <w:r w:rsidRPr="00EA1414">
        <w:rPr>
          <w:sz w:val="24"/>
          <w:szCs w:val="24"/>
        </w:rPr>
        <w:t>ECV’s Enigma No 2 Questions</w:t>
      </w:r>
    </w:p>
    <w:p w14:paraId="7B0471E1" w14:textId="77777777" w:rsidR="000E78C5" w:rsidRPr="00EA1414" w:rsidRDefault="000E78C5" w:rsidP="00894B97">
      <w:pPr>
        <w:rPr>
          <w:sz w:val="24"/>
          <w:szCs w:val="24"/>
        </w:rPr>
      </w:pPr>
    </w:p>
    <w:p w14:paraId="18459767" w14:textId="1FB0E9AD" w:rsidR="000E78C5" w:rsidRPr="00EA1414" w:rsidRDefault="000E78C5" w:rsidP="000E78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414">
        <w:rPr>
          <w:sz w:val="24"/>
          <w:szCs w:val="24"/>
        </w:rPr>
        <w:t>Why are there two thresholds in respect of Variations? Surely there should only be one. A single Variation of 9.99% of ACA will require Contractor to accumulate Variations totally another 20.01% ACA whereas as that of 10.0% would trigger the use of Sub-Clause</w:t>
      </w:r>
    </w:p>
    <w:p w14:paraId="725B100F" w14:textId="21A7FB98" w:rsidR="000E78C5" w:rsidRPr="00EA1414" w:rsidRDefault="000E78C5" w:rsidP="000E78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1414">
        <w:rPr>
          <w:sz w:val="24"/>
          <w:szCs w:val="24"/>
        </w:rPr>
        <w:t>Why are following not covered by same Sub-Clause if the</w:t>
      </w:r>
      <w:r w:rsidR="00EA1414">
        <w:rPr>
          <w:sz w:val="24"/>
          <w:szCs w:val="24"/>
        </w:rPr>
        <w:t>y cause an</w:t>
      </w:r>
      <w:r w:rsidRPr="00EA1414">
        <w:rPr>
          <w:sz w:val="24"/>
          <w:szCs w:val="24"/>
        </w:rPr>
        <w:t xml:space="preserve"> increase </w:t>
      </w:r>
      <w:r w:rsidR="00EA1414">
        <w:rPr>
          <w:sz w:val="24"/>
          <w:szCs w:val="24"/>
        </w:rPr>
        <w:t xml:space="preserve">to the </w:t>
      </w:r>
      <w:r w:rsidRPr="00EA1414">
        <w:rPr>
          <w:sz w:val="24"/>
          <w:szCs w:val="24"/>
        </w:rPr>
        <w:t>ACA by more than 10</w:t>
      </w:r>
      <w:r w:rsidR="00EA1414" w:rsidRPr="00EA1414">
        <w:rPr>
          <w:sz w:val="24"/>
          <w:szCs w:val="24"/>
        </w:rPr>
        <w:t>%</w:t>
      </w:r>
    </w:p>
    <w:p w14:paraId="0FD30673" w14:textId="316CFF1B" w:rsidR="00EA1414" w:rsidRPr="00EA1414" w:rsidRDefault="00EA1414" w:rsidP="00EA1414">
      <w:pPr>
        <w:ind w:left="720"/>
        <w:rPr>
          <w:sz w:val="24"/>
          <w:szCs w:val="24"/>
        </w:rPr>
      </w:pPr>
      <w:r>
        <w:rPr>
          <w:sz w:val="24"/>
          <w:szCs w:val="24"/>
        </w:rPr>
        <w:t>S.C 12.3</w:t>
      </w:r>
      <w:r w:rsidRPr="00EA1414">
        <w:rPr>
          <w:sz w:val="24"/>
          <w:szCs w:val="24"/>
        </w:rPr>
        <w:t xml:space="preserve"> Measured work under Red Book?</w:t>
      </w:r>
    </w:p>
    <w:p w14:paraId="54FF4AC1" w14:textId="2C38595B" w:rsidR="00EA1414" w:rsidRPr="00EA1414" w:rsidRDefault="00EA1414" w:rsidP="00EA1414">
      <w:pPr>
        <w:rPr>
          <w:sz w:val="24"/>
          <w:szCs w:val="24"/>
        </w:rPr>
      </w:pPr>
      <w:r w:rsidRPr="00EA1414">
        <w:rPr>
          <w:sz w:val="24"/>
          <w:szCs w:val="24"/>
        </w:rPr>
        <w:t xml:space="preserve">              S.C 3.7 Agreements or Determinations?</w:t>
      </w:r>
    </w:p>
    <w:p w14:paraId="71B8182D" w14:textId="2171E11B" w:rsidR="00EA1414" w:rsidRPr="00EA1414" w:rsidRDefault="00EA1414" w:rsidP="00EA1414">
      <w:pPr>
        <w:rPr>
          <w:sz w:val="24"/>
          <w:szCs w:val="24"/>
        </w:rPr>
      </w:pPr>
      <w:r w:rsidRPr="00EA1414">
        <w:rPr>
          <w:sz w:val="24"/>
          <w:szCs w:val="24"/>
        </w:rPr>
        <w:t xml:space="preserve">              S.C 21.4 DAAB decisions?</w:t>
      </w:r>
    </w:p>
    <w:p w14:paraId="62B8C81C" w14:textId="2E718933" w:rsidR="00EA1414" w:rsidRPr="00EA1414" w:rsidRDefault="00EA1414" w:rsidP="00EA1414">
      <w:pPr>
        <w:rPr>
          <w:sz w:val="24"/>
          <w:szCs w:val="24"/>
        </w:rPr>
      </w:pPr>
      <w:r w:rsidRPr="00EA1414">
        <w:rPr>
          <w:sz w:val="24"/>
          <w:szCs w:val="24"/>
        </w:rPr>
        <w:t xml:space="preserve">              S.C  21.6 Arbitrator decisions?</w:t>
      </w:r>
    </w:p>
    <w:p w14:paraId="2AE65722" w14:textId="1EAD56B1" w:rsidR="00EA1414" w:rsidRPr="00EA1414" w:rsidRDefault="00EA1414" w:rsidP="00EA1414">
      <w:pPr>
        <w:rPr>
          <w:sz w:val="24"/>
          <w:szCs w:val="24"/>
        </w:rPr>
      </w:pPr>
    </w:p>
    <w:p w14:paraId="0309A3E2" w14:textId="68B84961" w:rsidR="00EA1414" w:rsidRPr="00EA1414" w:rsidRDefault="00EA1414" w:rsidP="00EA1414">
      <w:pPr>
        <w:rPr>
          <w:sz w:val="24"/>
          <w:szCs w:val="24"/>
        </w:rPr>
      </w:pPr>
      <w:r w:rsidRPr="00EA1414">
        <w:rPr>
          <w:sz w:val="24"/>
          <w:szCs w:val="24"/>
        </w:rPr>
        <w:t>Under 2022 amended version if the Contractor disagrees with Engineer</w:t>
      </w:r>
      <w:r>
        <w:rPr>
          <w:sz w:val="24"/>
          <w:szCs w:val="24"/>
        </w:rPr>
        <w:t>’</w:t>
      </w:r>
      <w:r w:rsidRPr="00EA1414">
        <w:rPr>
          <w:sz w:val="24"/>
          <w:szCs w:val="24"/>
        </w:rPr>
        <w:t>s estimate of outstanding amount due, then why is he not entitled to take the issue to the DAAB?</w:t>
      </w:r>
    </w:p>
    <w:p w14:paraId="5391522E" w14:textId="77777777" w:rsidR="00EA1414" w:rsidRPr="00EA1414" w:rsidRDefault="00EA1414" w:rsidP="00EA1414">
      <w:pPr>
        <w:rPr>
          <w:sz w:val="24"/>
          <w:szCs w:val="24"/>
        </w:rPr>
      </w:pPr>
    </w:p>
    <w:p w14:paraId="778973D6" w14:textId="4BF40EED" w:rsidR="00EA1414" w:rsidRPr="00EA1414" w:rsidRDefault="00EA1414" w:rsidP="00EA1414">
      <w:pPr>
        <w:rPr>
          <w:sz w:val="24"/>
          <w:szCs w:val="24"/>
        </w:rPr>
      </w:pPr>
      <w:r w:rsidRPr="00EA1414">
        <w:rPr>
          <w:sz w:val="24"/>
          <w:szCs w:val="24"/>
        </w:rPr>
        <w:t>David Heslett, Managing Director, ECV Consultancy Ltd – wwwecvglobal.com</w:t>
      </w:r>
    </w:p>
    <w:p w14:paraId="6ACAFAC7" w14:textId="77777777" w:rsidR="00EA1414" w:rsidRPr="00EA1414" w:rsidRDefault="00EA1414" w:rsidP="00EA1414">
      <w:pPr>
        <w:rPr>
          <w:sz w:val="24"/>
          <w:szCs w:val="24"/>
        </w:rPr>
      </w:pPr>
    </w:p>
    <w:p w14:paraId="0ABF9C72" w14:textId="670A1789" w:rsidR="00EA1414" w:rsidRPr="00EA1414" w:rsidRDefault="00EA1414" w:rsidP="00EA1414">
      <w:pPr>
        <w:rPr>
          <w:sz w:val="24"/>
          <w:szCs w:val="24"/>
        </w:rPr>
      </w:pPr>
      <w:r w:rsidRPr="00EA1414">
        <w:rPr>
          <w:sz w:val="24"/>
          <w:szCs w:val="24"/>
        </w:rPr>
        <w:t>More Enigmas to follow!!</w:t>
      </w:r>
    </w:p>
    <w:p w14:paraId="4B28FFAE" w14:textId="77777777" w:rsidR="00EA1414" w:rsidRDefault="00EA1414" w:rsidP="00EA1414">
      <w:pPr>
        <w:rPr>
          <w:b/>
          <w:bCs/>
          <w:sz w:val="24"/>
          <w:szCs w:val="24"/>
        </w:rPr>
      </w:pPr>
    </w:p>
    <w:p w14:paraId="49DC5CFC" w14:textId="3683A1FF" w:rsidR="00EA1414" w:rsidRPr="00EA1414" w:rsidRDefault="00EA1414" w:rsidP="00EA1414">
      <w:pPr>
        <w:rPr>
          <w:b/>
          <w:bCs/>
          <w:sz w:val="24"/>
          <w:szCs w:val="24"/>
        </w:rPr>
      </w:pPr>
    </w:p>
    <w:sectPr w:rsidR="00EA1414" w:rsidRPr="00EA1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3B62"/>
    <w:multiLevelType w:val="hybridMultilevel"/>
    <w:tmpl w:val="5C0EF13C"/>
    <w:lvl w:ilvl="0" w:tplc="C0C033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964BF"/>
    <w:multiLevelType w:val="hybridMultilevel"/>
    <w:tmpl w:val="5DA89416"/>
    <w:lvl w:ilvl="0" w:tplc="D79864D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BD655B"/>
    <w:multiLevelType w:val="hybridMultilevel"/>
    <w:tmpl w:val="4DAAED6E"/>
    <w:lvl w:ilvl="0" w:tplc="A6CC7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52F05"/>
    <w:multiLevelType w:val="hybridMultilevel"/>
    <w:tmpl w:val="DE8AD7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22176">
    <w:abstractNumId w:val="3"/>
  </w:num>
  <w:num w:numId="2" w16cid:durableId="2006202774">
    <w:abstractNumId w:val="0"/>
  </w:num>
  <w:num w:numId="3" w16cid:durableId="100534621">
    <w:abstractNumId w:val="2"/>
  </w:num>
  <w:num w:numId="4" w16cid:durableId="59181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97"/>
    <w:rsid w:val="000E78C5"/>
    <w:rsid w:val="007D5F90"/>
    <w:rsid w:val="00894B97"/>
    <w:rsid w:val="00BF62B5"/>
    <w:rsid w:val="00E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73E0"/>
  <w15:chartTrackingRefBased/>
  <w15:docId w15:val="{1986101C-5C57-49D1-889D-BC1A947F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Heslett</dc:creator>
  <cp:keywords/>
  <dc:description/>
  <cp:lastModifiedBy>David Heslett</cp:lastModifiedBy>
  <cp:revision>2</cp:revision>
  <cp:lastPrinted>2023-07-24T08:53:00Z</cp:lastPrinted>
  <dcterms:created xsi:type="dcterms:W3CDTF">2023-08-13T13:20:00Z</dcterms:created>
  <dcterms:modified xsi:type="dcterms:W3CDTF">2023-08-13T13:20:00Z</dcterms:modified>
</cp:coreProperties>
</file>